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2F8" w:rsidRDefault="002E62F8" w:rsidP="00E47468">
      <w:pPr>
        <w:pStyle w:val="Default"/>
        <w:rPr>
          <w:color w:val="auto"/>
        </w:rPr>
      </w:pPr>
      <w:bookmarkStart w:id="0" w:name="_GoBack"/>
      <w:bookmarkEnd w:id="0"/>
    </w:p>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47468" w:rsidRPr="00B830A4" w:rsidTr="00B57138">
        <w:trPr>
          <w:cantSplit/>
          <w:trHeight w:hRule="exact" w:val="851"/>
        </w:trPr>
        <w:tc>
          <w:tcPr>
            <w:tcW w:w="1276" w:type="dxa"/>
            <w:tcBorders>
              <w:bottom w:val="single" w:sz="4" w:space="0" w:color="auto"/>
            </w:tcBorders>
            <w:vAlign w:val="bottom"/>
          </w:tcPr>
          <w:p w:rsidR="00E47468" w:rsidRDefault="00E47468" w:rsidP="00B57138">
            <w:pPr>
              <w:spacing w:after="80"/>
            </w:pPr>
          </w:p>
        </w:tc>
        <w:tc>
          <w:tcPr>
            <w:tcW w:w="2268" w:type="dxa"/>
            <w:tcBorders>
              <w:bottom w:val="single" w:sz="4" w:space="0" w:color="auto"/>
            </w:tcBorders>
            <w:vAlign w:val="bottom"/>
          </w:tcPr>
          <w:p w:rsidR="00E47468" w:rsidRPr="00B830A4" w:rsidRDefault="00E47468" w:rsidP="00B57138">
            <w:pPr>
              <w:spacing w:after="80" w:line="300" w:lineRule="exact"/>
              <w:rPr>
                <w:b/>
                <w:sz w:val="24"/>
                <w:szCs w:val="24"/>
              </w:rPr>
            </w:pPr>
            <w:r>
              <w:rPr>
                <w:sz w:val="28"/>
                <w:szCs w:val="28"/>
                <w:lang w:val="mk-MK"/>
              </w:rPr>
              <w:t>Обединети нации</w:t>
            </w:r>
          </w:p>
        </w:tc>
        <w:tc>
          <w:tcPr>
            <w:tcW w:w="6095" w:type="dxa"/>
            <w:gridSpan w:val="2"/>
            <w:tcBorders>
              <w:bottom w:val="single" w:sz="4" w:space="0" w:color="auto"/>
            </w:tcBorders>
            <w:vAlign w:val="bottom"/>
          </w:tcPr>
          <w:p w:rsidR="00E47468" w:rsidRPr="00B830A4" w:rsidRDefault="00E47468" w:rsidP="00E47468">
            <w:pPr>
              <w:jc w:val="right"/>
            </w:pPr>
            <w:r w:rsidRPr="00D027C1">
              <w:rPr>
                <w:b/>
                <w:sz w:val="28"/>
                <w:szCs w:val="28"/>
                <w:u w:val="single"/>
                <w:lang w:val="mk-MK"/>
              </w:rPr>
              <w:t>Неофицијален превод од англиски</w:t>
            </w:r>
            <w:r>
              <w:rPr>
                <w:sz w:val="28"/>
                <w:szCs w:val="28"/>
                <w:lang w:val="mk-MK"/>
              </w:rPr>
              <w:t xml:space="preserve"> </w:t>
            </w:r>
            <w:r w:rsidRPr="00B830A4">
              <w:rPr>
                <w:sz w:val="40"/>
              </w:rPr>
              <w:t>CRPD</w:t>
            </w:r>
            <w:r w:rsidRPr="00B830A4">
              <w:t>/C/</w:t>
            </w:r>
            <w:r>
              <w:t>1/Rev.1</w:t>
            </w:r>
          </w:p>
        </w:tc>
      </w:tr>
      <w:tr w:rsidR="00E47468" w:rsidRPr="00B830A4" w:rsidTr="00D027C1">
        <w:trPr>
          <w:cantSplit/>
          <w:trHeight w:hRule="exact" w:val="1225"/>
        </w:trPr>
        <w:tc>
          <w:tcPr>
            <w:tcW w:w="1276" w:type="dxa"/>
            <w:tcBorders>
              <w:top w:val="single" w:sz="4" w:space="0" w:color="auto"/>
              <w:bottom w:val="single" w:sz="12" w:space="0" w:color="auto"/>
            </w:tcBorders>
          </w:tcPr>
          <w:p w:rsidR="00E47468" w:rsidRPr="00B830A4" w:rsidRDefault="00E47468" w:rsidP="00B57138">
            <w:pPr>
              <w:spacing w:before="120"/>
              <w:jc w:val="center"/>
            </w:pPr>
            <w:r>
              <w:rPr>
                <w:noProof/>
              </w:rPr>
              <w:drawing>
                <wp:inline distT="0" distB="0" distL="0" distR="0" wp14:anchorId="1312FC12" wp14:editId="5A5D0C03">
                  <wp:extent cx="644237" cy="534947"/>
                  <wp:effectExtent l="0" t="0" r="3810" b="0"/>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865" cy="536299"/>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E47468" w:rsidRPr="00E47468" w:rsidRDefault="00E47468" w:rsidP="00E47468">
            <w:pPr>
              <w:spacing w:before="120" w:line="380" w:lineRule="exact"/>
              <w:rPr>
                <w:b/>
                <w:sz w:val="34"/>
                <w:szCs w:val="40"/>
              </w:rPr>
            </w:pPr>
            <w:r>
              <w:rPr>
                <w:b/>
                <w:sz w:val="34"/>
                <w:szCs w:val="40"/>
                <w:lang w:val="mk-MK"/>
              </w:rPr>
              <w:t>Конвенција за правата на лицата со попреченост</w:t>
            </w:r>
          </w:p>
        </w:tc>
        <w:tc>
          <w:tcPr>
            <w:tcW w:w="2835" w:type="dxa"/>
            <w:tcBorders>
              <w:top w:val="single" w:sz="4" w:space="0" w:color="auto"/>
              <w:bottom w:val="single" w:sz="12" w:space="0" w:color="auto"/>
            </w:tcBorders>
          </w:tcPr>
          <w:p w:rsidR="00E47468" w:rsidRDefault="00E47468" w:rsidP="00E47468">
            <w:pPr>
              <w:pStyle w:val="Default"/>
              <w:rPr>
                <w:sz w:val="20"/>
                <w:szCs w:val="20"/>
              </w:rPr>
            </w:pPr>
            <w:r>
              <w:rPr>
                <w:sz w:val="20"/>
                <w:szCs w:val="20"/>
                <w:lang w:val="mk-MK"/>
              </w:rPr>
              <w:t>Дистр.</w:t>
            </w:r>
            <w:r>
              <w:rPr>
                <w:sz w:val="20"/>
                <w:szCs w:val="20"/>
              </w:rPr>
              <w:t xml:space="preserve">: </w:t>
            </w:r>
            <w:r>
              <w:rPr>
                <w:sz w:val="20"/>
                <w:szCs w:val="20"/>
                <w:lang w:val="mk-MK"/>
              </w:rPr>
              <w:t>Општа</w:t>
            </w:r>
            <w:r>
              <w:rPr>
                <w:sz w:val="20"/>
                <w:szCs w:val="20"/>
              </w:rPr>
              <w:t xml:space="preserve"> </w:t>
            </w:r>
          </w:p>
          <w:p w:rsidR="00E47468" w:rsidRDefault="00E47468" w:rsidP="00E47468">
            <w:pPr>
              <w:pStyle w:val="Default"/>
              <w:rPr>
                <w:sz w:val="20"/>
                <w:szCs w:val="20"/>
              </w:rPr>
            </w:pPr>
            <w:r>
              <w:rPr>
                <w:sz w:val="20"/>
                <w:szCs w:val="20"/>
              </w:rPr>
              <w:t xml:space="preserve">10 </w:t>
            </w:r>
            <w:r>
              <w:rPr>
                <w:sz w:val="20"/>
                <w:szCs w:val="20"/>
                <w:lang w:val="mk-MK"/>
              </w:rPr>
              <w:t>октомври</w:t>
            </w:r>
            <w:r>
              <w:rPr>
                <w:sz w:val="20"/>
                <w:szCs w:val="20"/>
              </w:rPr>
              <w:t xml:space="preserve"> 2016 </w:t>
            </w:r>
          </w:p>
          <w:p w:rsidR="00E47468" w:rsidRPr="00E47468" w:rsidRDefault="00E47468" w:rsidP="00E47468">
            <w:pPr>
              <w:spacing w:before="240" w:line="240" w:lineRule="exact"/>
            </w:pPr>
            <w:r>
              <w:rPr>
                <w:lang w:val="mk-MK"/>
              </w:rPr>
              <w:t>Оригинал</w:t>
            </w:r>
            <w:r>
              <w:t xml:space="preserve">: </w:t>
            </w:r>
            <w:r>
              <w:rPr>
                <w:lang w:val="mk-MK"/>
              </w:rPr>
              <w:t>англиски</w:t>
            </w:r>
            <w:r>
              <w:t xml:space="preserve"> </w:t>
            </w:r>
          </w:p>
        </w:tc>
      </w:tr>
    </w:tbl>
    <w:p w:rsidR="00BE6D44" w:rsidRDefault="00BE6D44" w:rsidP="002E62F8">
      <w:pPr>
        <w:pStyle w:val="Default"/>
        <w:rPr>
          <w:b/>
          <w:bCs/>
        </w:rPr>
      </w:pPr>
      <w:r w:rsidRPr="00BE6D44">
        <w:rPr>
          <w:b/>
          <w:bCs/>
          <w:color w:val="auto"/>
          <w:lang w:val="mk-MK"/>
        </w:rPr>
        <w:t xml:space="preserve">Комитет за </w:t>
      </w:r>
      <w:r w:rsidRPr="00BE6D44">
        <w:rPr>
          <w:b/>
          <w:lang w:val="mk-MK"/>
        </w:rPr>
        <w:t>правата на лица со попреченост</w:t>
      </w:r>
      <w:r w:rsidRPr="00BE6D44">
        <w:rPr>
          <w:b/>
          <w:bCs/>
        </w:rPr>
        <w:t xml:space="preserve"> </w:t>
      </w:r>
    </w:p>
    <w:p w:rsidR="00D027C1" w:rsidRDefault="00D027C1" w:rsidP="00E47468">
      <w:pPr>
        <w:pStyle w:val="Default"/>
        <w:jc w:val="center"/>
        <w:rPr>
          <w:b/>
          <w:bCs/>
          <w:color w:val="auto"/>
          <w:sz w:val="34"/>
          <w:szCs w:val="34"/>
          <w:lang w:val="mk-MK"/>
        </w:rPr>
      </w:pPr>
    </w:p>
    <w:p w:rsidR="0092191D" w:rsidRPr="00E47468" w:rsidRDefault="0092191D" w:rsidP="00E47468">
      <w:pPr>
        <w:pStyle w:val="Default"/>
        <w:jc w:val="center"/>
        <w:rPr>
          <w:color w:val="auto"/>
          <w:sz w:val="34"/>
          <w:szCs w:val="34"/>
        </w:rPr>
      </w:pPr>
      <w:r w:rsidRPr="00E47468">
        <w:rPr>
          <w:b/>
          <w:bCs/>
          <w:color w:val="auto"/>
          <w:sz w:val="34"/>
          <w:szCs w:val="34"/>
          <w:lang w:val="mk-MK"/>
        </w:rPr>
        <w:t>Деловник за работа</w:t>
      </w:r>
      <w:r w:rsidR="00E47468" w:rsidRPr="00E47468">
        <w:rPr>
          <w:rStyle w:val="FootnoteReference"/>
          <w:color w:val="auto"/>
          <w:sz w:val="34"/>
          <w:szCs w:val="34"/>
        </w:rPr>
        <w:footnoteReference w:customMarkFollows="1" w:id="1"/>
        <w:sym w:font="Symbol" w:char="F02A"/>
      </w:r>
    </w:p>
    <w:p w:rsidR="00E47468" w:rsidRDefault="00E47468" w:rsidP="002E62F8">
      <w:pPr>
        <w:pStyle w:val="Default"/>
        <w:rPr>
          <w:sz w:val="20"/>
          <w:szCs w:val="20"/>
          <w:lang w:val="mk-MK"/>
        </w:rPr>
      </w:pPr>
    </w:p>
    <w:p w:rsidR="002E62F8" w:rsidRPr="00E47468" w:rsidRDefault="0092191D" w:rsidP="00D027C1">
      <w:pPr>
        <w:pStyle w:val="Default"/>
        <w:jc w:val="center"/>
        <w:rPr>
          <w:b/>
          <w:bCs/>
          <w:sz w:val="28"/>
          <w:szCs w:val="28"/>
        </w:rPr>
      </w:pPr>
      <w:r w:rsidRPr="00E47468">
        <w:rPr>
          <w:b/>
          <w:sz w:val="36"/>
          <w:szCs w:val="36"/>
          <w:u w:val="single"/>
          <w:lang w:val="mk-MK"/>
        </w:rPr>
        <w:t>Извадок</w:t>
      </w:r>
    </w:p>
    <w:p w:rsidR="00D027C1" w:rsidRPr="00D027C1" w:rsidRDefault="00D027C1" w:rsidP="002E62F8">
      <w:pPr>
        <w:pStyle w:val="Default"/>
        <w:rPr>
          <w:b/>
          <w:bCs/>
          <w:sz w:val="28"/>
          <w:szCs w:val="28"/>
          <w:lang w:val="mk-MK"/>
        </w:rPr>
      </w:pPr>
      <w:r>
        <w:rPr>
          <w:b/>
          <w:bCs/>
          <w:sz w:val="28"/>
          <w:szCs w:val="28"/>
          <w:lang w:val="mk-MK"/>
        </w:rPr>
        <w:t>...</w:t>
      </w:r>
    </w:p>
    <w:p w:rsidR="002E62F8" w:rsidRDefault="0092191D" w:rsidP="002E62F8">
      <w:pPr>
        <w:pStyle w:val="Default"/>
        <w:rPr>
          <w:sz w:val="28"/>
          <w:szCs w:val="28"/>
        </w:rPr>
      </w:pPr>
      <w:r>
        <w:rPr>
          <w:b/>
          <w:bCs/>
          <w:sz w:val="28"/>
          <w:szCs w:val="28"/>
          <w:lang w:val="mk-MK"/>
        </w:rPr>
        <w:t>Анекс</w:t>
      </w:r>
      <w:r w:rsidR="002E62F8">
        <w:rPr>
          <w:b/>
          <w:bCs/>
          <w:sz w:val="28"/>
          <w:szCs w:val="28"/>
        </w:rPr>
        <w:t xml:space="preserve"> </w:t>
      </w:r>
    </w:p>
    <w:p w:rsidR="00D027C1" w:rsidRDefault="00D027C1" w:rsidP="002E62F8">
      <w:pPr>
        <w:pStyle w:val="Default"/>
        <w:rPr>
          <w:b/>
          <w:bCs/>
          <w:sz w:val="28"/>
          <w:szCs w:val="28"/>
          <w:lang w:val="mk-MK"/>
        </w:rPr>
      </w:pPr>
    </w:p>
    <w:p w:rsidR="002E62F8" w:rsidRDefault="0092191D" w:rsidP="002E62F8">
      <w:pPr>
        <w:pStyle w:val="Default"/>
        <w:rPr>
          <w:b/>
          <w:bCs/>
          <w:sz w:val="28"/>
          <w:szCs w:val="28"/>
          <w:lang w:val="mk-MK"/>
        </w:rPr>
      </w:pPr>
      <w:r w:rsidRPr="0092191D">
        <w:rPr>
          <w:b/>
          <w:bCs/>
          <w:sz w:val="28"/>
          <w:szCs w:val="28"/>
          <w:lang w:val="mk-MK"/>
        </w:rPr>
        <w:t>Упатства за независни</w:t>
      </w:r>
      <w:r w:rsidR="00A84FF8">
        <w:rPr>
          <w:b/>
          <w:bCs/>
          <w:sz w:val="28"/>
          <w:szCs w:val="28"/>
          <w:lang w:val="mk-MK"/>
        </w:rPr>
        <w:t>те</w:t>
      </w:r>
      <w:r w:rsidRPr="0092191D">
        <w:rPr>
          <w:b/>
          <w:bCs/>
          <w:sz w:val="28"/>
          <w:szCs w:val="28"/>
          <w:lang w:val="mk-MK"/>
        </w:rPr>
        <w:t xml:space="preserve"> рамки за следење и нивно учество во работата на Комитетот за правата на лицата со попреченост</w:t>
      </w:r>
    </w:p>
    <w:p w:rsidR="0092191D" w:rsidRDefault="0092191D" w:rsidP="002E62F8">
      <w:pPr>
        <w:pStyle w:val="Default"/>
        <w:rPr>
          <w:sz w:val="28"/>
          <w:szCs w:val="28"/>
        </w:rPr>
      </w:pPr>
    </w:p>
    <w:p w:rsidR="0092191D" w:rsidRDefault="002E62F8" w:rsidP="002E62F8">
      <w:pPr>
        <w:pStyle w:val="Default"/>
        <w:rPr>
          <w:b/>
          <w:bCs/>
          <w:sz w:val="28"/>
          <w:szCs w:val="28"/>
          <w:lang w:val="mk-MK"/>
        </w:rPr>
      </w:pPr>
      <w:r>
        <w:rPr>
          <w:b/>
          <w:bCs/>
          <w:sz w:val="28"/>
          <w:szCs w:val="28"/>
        </w:rPr>
        <w:t xml:space="preserve">I. </w:t>
      </w:r>
      <w:r w:rsidR="0092191D">
        <w:rPr>
          <w:b/>
          <w:bCs/>
          <w:sz w:val="28"/>
          <w:szCs w:val="28"/>
          <w:lang w:val="mk-MK"/>
        </w:rPr>
        <w:t>Вовед</w:t>
      </w:r>
    </w:p>
    <w:p w:rsidR="002E62F8" w:rsidRDefault="00D027C1" w:rsidP="002E62F8">
      <w:pPr>
        <w:pStyle w:val="Default"/>
        <w:rPr>
          <w:sz w:val="28"/>
          <w:szCs w:val="28"/>
        </w:rPr>
      </w:pPr>
      <w:r>
        <w:rPr>
          <w:b/>
          <w:bCs/>
          <w:sz w:val="28"/>
          <w:szCs w:val="28"/>
        </w:rPr>
        <w:t>…</w:t>
      </w:r>
      <w:r w:rsidR="002E62F8">
        <w:rPr>
          <w:b/>
          <w:bCs/>
          <w:sz w:val="28"/>
          <w:szCs w:val="28"/>
        </w:rPr>
        <w:t xml:space="preserve"> </w:t>
      </w:r>
    </w:p>
    <w:p w:rsidR="002E62F8" w:rsidRDefault="002E62F8" w:rsidP="002E62F8">
      <w:pPr>
        <w:pStyle w:val="Default"/>
        <w:rPr>
          <w:b/>
          <w:bCs/>
          <w:sz w:val="28"/>
          <w:szCs w:val="28"/>
        </w:rPr>
      </w:pPr>
    </w:p>
    <w:p w:rsidR="002E62F8" w:rsidRDefault="002E62F8" w:rsidP="002E62F8">
      <w:pPr>
        <w:pStyle w:val="Default"/>
        <w:rPr>
          <w:b/>
          <w:bCs/>
          <w:sz w:val="28"/>
          <w:szCs w:val="28"/>
          <w:lang w:val="mk-MK"/>
        </w:rPr>
      </w:pPr>
      <w:r>
        <w:rPr>
          <w:b/>
          <w:bCs/>
          <w:sz w:val="28"/>
          <w:szCs w:val="28"/>
        </w:rPr>
        <w:t xml:space="preserve">II. </w:t>
      </w:r>
      <w:r w:rsidR="005F2EE4">
        <w:rPr>
          <w:b/>
          <w:bCs/>
          <w:sz w:val="28"/>
          <w:szCs w:val="28"/>
          <w:lang w:val="mk-MK"/>
        </w:rPr>
        <w:t xml:space="preserve">Опфат на член </w:t>
      </w:r>
      <w:r>
        <w:rPr>
          <w:b/>
          <w:bCs/>
          <w:sz w:val="28"/>
          <w:szCs w:val="28"/>
        </w:rPr>
        <w:t xml:space="preserve">33 (2) </w:t>
      </w:r>
      <w:r w:rsidR="00DD6A58">
        <w:rPr>
          <w:b/>
          <w:bCs/>
          <w:sz w:val="28"/>
          <w:szCs w:val="28"/>
          <w:lang w:val="mk-MK"/>
        </w:rPr>
        <w:t>и</w:t>
      </w:r>
      <w:r>
        <w:rPr>
          <w:b/>
          <w:bCs/>
          <w:sz w:val="28"/>
          <w:szCs w:val="28"/>
        </w:rPr>
        <w:t xml:space="preserve"> (3) </w:t>
      </w:r>
      <w:r w:rsidR="005F2EE4">
        <w:rPr>
          <w:b/>
          <w:bCs/>
          <w:sz w:val="28"/>
          <w:szCs w:val="28"/>
          <w:lang w:val="mk-MK"/>
        </w:rPr>
        <w:t>од Конвенцијата</w:t>
      </w:r>
    </w:p>
    <w:p w:rsidR="005F2EE4" w:rsidRDefault="005F2EE4" w:rsidP="002E62F8">
      <w:pPr>
        <w:pStyle w:val="Default"/>
        <w:rPr>
          <w:sz w:val="20"/>
          <w:szCs w:val="20"/>
        </w:rPr>
      </w:pPr>
    </w:p>
    <w:p w:rsidR="002E62F8" w:rsidRDefault="002E62F8" w:rsidP="002E62F8">
      <w:pPr>
        <w:pStyle w:val="Default"/>
        <w:rPr>
          <w:sz w:val="20"/>
          <w:szCs w:val="20"/>
        </w:rPr>
      </w:pPr>
      <w:r>
        <w:rPr>
          <w:sz w:val="20"/>
          <w:szCs w:val="20"/>
        </w:rPr>
        <w:t xml:space="preserve">8. </w:t>
      </w:r>
      <w:r w:rsidR="005F2EE4">
        <w:rPr>
          <w:sz w:val="20"/>
          <w:szCs w:val="20"/>
        </w:rPr>
        <w:tab/>
      </w:r>
      <w:r w:rsidR="005F2EE4" w:rsidRPr="005F2EE4">
        <w:rPr>
          <w:sz w:val="20"/>
          <w:szCs w:val="20"/>
          <w:lang w:val="mk-MK"/>
        </w:rPr>
        <w:t>Членот 33 бара од државите-членки кои тоа не го сториле пред влегувањето во сила на Конвенцијата да назначат или да воспостават независна рамка која вклучува еден или повеќе механизми со надлежност да ја промовираат, штитат и следат примената на Конвенцијата. Назначувањето или воспоставувањето на независна рамка за следење треба да се направи што е можно побрзо по влегувањето во сила на Конвенцијата. Членот 33 бара државите-членки да спроведат широк, инклузивен процес на консултации со организациите на граѓанското општество, особено со лицата со по</w:t>
      </w:r>
      <w:r w:rsidR="00DD6A58">
        <w:rPr>
          <w:sz w:val="20"/>
          <w:szCs w:val="20"/>
          <w:lang w:val="mk-MK"/>
        </w:rPr>
        <w:t>преченост</w:t>
      </w:r>
      <w:r w:rsidR="005F2EE4" w:rsidRPr="005F2EE4">
        <w:rPr>
          <w:sz w:val="20"/>
          <w:szCs w:val="20"/>
          <w:lang w:val="mk-MK"/>
        </w:rPr>
        <w:t xml:space="preserve"> и нивните претставнички организации, со цел да се назначи или да се воспостави една независна рамка за мониторинг.</w:t>
      </w:r>
    </w:p>
    <w:p w:rsidR="005F2EE4" w:rsidRDefault="005F2EE4" w:rsidP="002E62F8">
      <w:pPr>
        <w:pStyle w:val="Default"/>
        <w:rPr>
          <w:sz w:val="20"/>
          <w:szCs w:val="20"/>
        </w:rPr>
      </w:pPr>
    </w:p>
    <w:p w:rsidR="002E62F8" w:rsidRDefault="002E62F8" w:rsidP="002E62F8">
      <w:pPr>
        <w:pStyle w:val="Default"/>
        <w:rPr>
          <w:sz w:val="20"/>
          <w:szCs w:val="20"/>
        </w:rPr>
      </w:pPr>
      <w:r>
        <w:rPr>
          <w:sz w:val="20"/>
          <w:szCs w:val="20"/>
        </w:rPr>
        <w:t xml:space="preserve">9. </w:t>
      </w:r>
      <w:r w:rsidR="002B675F" w:rsidRPr="002B675F">
        <w:rPr>
          <w:sz w:val="20"/>
          <w:szCs w:val="20"/>
          <w:lang w:val="mk-MK"/>
        </w:rPr>
        <w:t xml:space="preserve">Иако не постои </w:t>
      </w:r>
      <w:r w:rsidR="00DD6A58">
        <w:rPr>
          <w:sz w:val="20"/>
          <w:szCs w:val="20"/>
          <w:lang w:val="mk-MK"/>
        </w:rPr>
        <w:t>конкретно</w:t>
      </w:r>
      <w:r w:rsidR="002B675F" w:rsidRPr="002B675F">
        <w:rPr>
          <w:sz w:val="20"/>
          <w:szCs w:val="20"/>
          <w:lang w:val="mk-MK"/>
        </w:rPr>
        <w:t xml:space="preserve"> формалн</w:t>
      </w:r>
      <w:r w:rsidR="00DD6A58">
        <w:rPr>
          <w:sz w:val="20"/>
          <w:szCs w:val="20"/>
          <w:lang w:val="mk-MK"/>
        </w:rPr>
        <w:t>о барање</w:t>
      </w:r>
      <w:r w:rsidR="002B675F" w:rsidRPr="002B675F">
        <w:rPr>
          <w:sz w:val="20"/>
          <w:szCs w:val="20"/>
          <w:lang w:val="mk-MK"/>
        </w:rPr>
        <w:t xml:space="preserve"> за назначување или воспоставување на такви рамки, а државите-членки можат да го изв</w:t>
      </w:r>
      <w:r w:rsidR="00DD6A58">
        <w:rPr>
          <w:sz w:val="20"/>
          <w:szCs w:val="20"/>
          <w:lang w:val="mk-MK"/>
        </w:rPr>
        <w:t>едат</w:t>
      </w:r>
      <w:r w:rsidR="002B675F" w:rsidRPr="002B675F">
        <w:rPr>
          <w:sz w:val="20"/>
          <w:szCs w:val="20"/>
          <w:lang w:val="mk-MK"/>
        </w:rPr>
        <w:t xml:space="preserve"> назначувањето или воспоставувањето согласно нивните правни и административни системи, членот 33 бара од државите-членки да обезбедат рамките за следење да </w:t>
      </w:r>
      <w:r w:rsidR="00DD6A58">
        <w:rPr>
          <w:sz w:val="20"/>
          <w:szCs w:val="20"/>
          <w:lang w:val="mk-MK"/>
        </w:rPr>
        <w:t>бидат</w:t>
      </w:r>
      <w:r w:rsidR="002B675F" w:rsidRPr="002B675F">
        <w:rPr>
          <w:sz w:val="20"/>
          <w:szCs w:val="20"/>
          <w:lang w:val="mk-MK"/>
        </w:rPr>
        <w:t xml:space="preserve"> независни од координаторите назначени според член 33 (1) од Конвенцијата.</w:t>
      </w:r>
    </w:p>
    <w:p w:rsidR="00D027C1" w:rsidRDefault="00D027C1" w:rsidP="002E62F8">
      <w:pPr>
        <w:pStyle w:val="Default"/>
        <w:rPr>
          <w:sz w:val="20"/>
          <w:szCs w:val="20"/>
        </w:rPr>
      </w:pPr>
    </w:p>
    <w:p w:rsidR="002E62F8" w:rsidRDefault="002E62F8" w:rsidP="002E62F8">
      <w:pPr>
        <w:pStyle w:val="Default"/>
        <w:rPr>
          <w:sz w:val="20"/>
          <w:szCs w:val="20"/>
        </w:rPr>
      </w:pPr>
      <w:r>
        <w:rPr>
          <w:sz w:val="20"/>
          <w:szCs w:val="20"/>
        </w:rPr>
        <w:t xml:space="preserve">10. </w:t>
      </w:r>
      <w:r w:rsidR="002B675F" w:rsidRPr="002B675F">
        <w:rPr>
          <w:sz w:val="20"/>
          <w:szCs w:val="20"/>
          <w:lang w:val="mk-MK"/>
        </w:rPr>
        <w:t xml:space="preserve">Доколку во време на влегувањето во сила на Конвенцијата веќе постои рамка за следење, членот 33 бара државите членки да ја </w:t>
      </w:r>
      <w:r w:rsidR="00DD6A58">
        <w:rPr>
          <w:sz w:val="20"/>
          <w:szCs w:val="20"/>
          <w:lang w:val="mk-MK"/>
        </w:rPr>
        <w:t>о</w:t>
      </w:r>
      <w:r w:rsidR="002B675F" w:rsidRPr="002B675F">
        <w:rPr>
          <w:sz w:val="20"/>
          <w:szCs w:val="20"/>
          <w:lang w:val="mk-MK"/>
        </w:rPr>
        <w:t>држат и зајакнат.</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lastRenderedPageBreak/>
        <w:t xml:space="preserve">11. </w:t>
      </w:r>
      <w:r w:rsidR="002B675F" w:rsidRPr="002B675F">
        <w:rPr>
          <w:sz w:val="20"/>
          <w:szCs w:val="20"/>
          <w:lang w:val="mk-MK"/>
        </w:rPr>
        <w:t xml:space="preserve">Член 33, исто така, бара од сите држави-членки да ја одржуваат и јакнат нивната рамка за следење, барање кое ја вклучува обврската да се осигура дека рамката има стабилна институционална основа која и овозможува </w:t>
      </w:r>
      <w:r w:rsidR="00DD6A58" w:rsidRPr="002B675F">
        <w:rPr>
          <w:sz w:val="20"/>
          <w:szCs w:val="20"/>
          <w:lang w:val="mk-MK"/>
        </w:rPr>
        <w:t xml:space="preserve">соодветно </w:t>
      </w:r>
      <w:r w:rsidR="002B675F" w:rsidRPr="002B675F">
        <w:rPr>
          <w:sz w:val="20"/>
          <w:szCs w:val="20"/>
          <w:lang w:val="mk-MK"/>
        </w:rPr>
        <w:t xml:space="preserve">да функционира </w:t>
      </w:r>
      <w:r w:rsidR="00DD6A58">
        <w:rPr>
          <w:sz w:val="20"/>
          <w:szCs w:val="20"/>
          <w:lang w:val="mk-MK"/>
        </w:rPr>
        <w:t xml:space="preserve">за </w:t>
      </w:r>
      <w:r w:rsidR="002B675F" w:rsidRPr="002B675F">
        <w:rPr>
          <w:sz w:val="20"/>
          <w:szCs w:val="20"/>
          <w:lang w:val="mk-MK"/>
        </w:rPr>
        <w:t>долго време и да е соодветно финансирана и обезбедена со ресурси (техничк</w:t>
      </w:r>
      <w:r w:rsidR="00DD6A58">
        <w:rPr>
          <w:sz w:val="20"/>
          <w:szCs w:val="20"/>
          <w:lang w:val="mk-MK"/>
        </w:rPr>
        <w:t>о</w:t>
      </w:r>
      <w:r w:rsidR="002B675F" w:rsidRPr="002B675F">
        <w:rPr>
          <w:sz w:val="20"/>
          <w:szCs w:val="20"/>
          <w:lang w:val="mk-MK"/>
        </w:rPr>
        <w:t xml:space="preserve"> и човечк</w:t>
      </w:r>
      <w:r w:rsidR="00DD6A58">
        <w:rPr>
          <w:sz w:val="20"/>
          <w:szCs w:val="20"/>
          <w:lang w:val="mk-MK"/>
        </w:rPr>
        <w:t>о знаење</w:t>
      </w:r>
      <w:r w:rsidR="002B675F" w:rsidRPr="002B675F">
        <w:rPr>
          <w:sz w:val="20"/>
          <w:szCs w:val="20"/>
          <w:lang w:val="mk-MK"/>
        </w:rPr>
        <w:t>) преку алокации од националниот буџет.</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12. </w:t>
      </w:r>
      <w:r w:rsidR="002B675F" w:rsidRPr="002B675F">
        <w:rPr>
          <w:sz w:val="20"/>
          <w:szCs w:val="20"/>
          <w:lang w:val="mk-MK"/>
        </w:rPr>
        <w:t xml:space="preserve">Обврската за одржување и јакнење исто така ги обврзува државите-членки да обезбедат независната рамка за следење да може соодветно да ги извршува своите функции. Ова значи дека рамката мора да има брз и целосен пристап до информации, бази на податоци, архиви, објекти и простории, како во урбани, така и во рурални или во оддалечени области; дека мора да има неограничен пристап до и интеракција со сите лица, ентитети, организации или владини тела со кои бара да оствари контакт; дека по нејзините барања се постапува соодветно и навремено од страна на телата за спроведување; и дека </w:t>
      </w:r>
      <w:r w:rsidR="00DD6A58">
        <w:rPr>
          <w:sz w:val="20"/>
          <w:szCs w:val="20"/>
          <w:lang w:val="mk-MK"/>
        </w:rPr>
        <w:t xml:space="preserve">е овозможена </w:t>
      </w:r>
      <w:r w:rsidR="002B675F" w:rsidRPr="002B675F">
        <w:rPr>
          <w:sz w:val="20"/>
          <w:szCs w:val="20"/>
          <w:lang w:val="mk-MK"/>
        </w:rPr>
        <w:t>обука на персоналот на континуирана основа.</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13. </w:t>
      </w:r>
      <w:r w:rsidR="00167D67" w:rsidRPr="00167D67">
        <w:rPr>
          <w:sz w:val="20"/>
          <w:szCs w:val="20"/>
          <w:lang w:val="mk-MK"/>
        </w:rPr>
        <w:t xml:space="preserve">Членот 33 треба да се чита дека бара државите-членки да се воздржат од директно или индиректно </w:t>
      </w:r>
      <w:r w:rsidR="00996990">
        <w:rPr>
          <w:sz w:val="20"/>
          <w:szCs w:val="20"/>
          <w:lang w:val="mk-MK"/>
        </w:rPr>
        <w:t>оневозможување</w:t>
      </w:r>
      <w:r w:rsidR="00167D67" w:rsidRPr="00167D67">
        <w:rPr>
          <w:sz w:val="20"/>
          <w:szCs w:val="20"/>
          <w:lang w:val="mk-MK"/>
        </w:rPr>
        <w:t xml:space="preserve">, ограничување или мешање со активностите кои ги спроведува независната рамка за следење </w:t>
      </w:r>
      <w:r w:rsidR="00996990">
        <w:rPr>
          <w:sz w:val="20"/>
          <w:szCs w:val="20"/>
          <w:lang w:val="mk-MK"/>
        </w:rPr>
        <w:t>при</w:t>
      </w:r>
      <w:r w:rsidR="00167D67" w:rsidRPr="00167D67">
        <w:rPr>
          <w:sz w:val="20"/>
          <w:szCs w:val="20"/>
          <w:lang w:val="mk-MK"/>
        </w:rPr>
        <w:t xml:space="preserve"> промоцијата, заштитата и следењето на спроведувањето на Конвенцијата. Промотивни активности вклучуваат подигнување на свеста, градење капацитети и обука; редовно следење на постоечкото национално законодавство, регулативи и практики, како и нацрт-закони и други предлози, за да се осигури дека тие се во согласност со барањата на Конвенцијата; спроведување на или овозможување на истражувања за влијанието на Конвенцијата врз националното законодавство; обезбедување технички совети на јавните органи и други субјекти за спроведување на Конвенцијата; објавување извештаи по иницијатива на самите рамки, кога тоа се бара од трета страна или од јавен орган; поттикнување на ратификацијата на меѓународни инструменти за човекови права; придонес </w:t>
      </w:r>
      <w:r w:rsidR="00996990">
        <w:rPr>
          <w:sz w:val="20"/>
          <w:szCs w:val="20"/>
          <w:lang w:val="mk-MK"/>
        </w:rPr>
        <w:t>кон</w:t>
      </w:r>
      <w:r w:rsidR="00167D67" w:rsidRPr="00167D67">
        <w:rPr>
          <w:sz w:val="20"/>
          <w:szCs w:val="20"/>
          <w:lang w:val="mk-MK"/>
        </w:rPr>
        <w:t xml:space="preserve"> извештаите што државите се обврзани да ги достават до телата и комитетите на Обединетите нации; и соработка со меѓународни, регионални и други национални институции за човекови права. Активностите за заштита вклучуваат разгледување на индивидуални или групни жалби за наводни кршења на Конвенцијата; спроведување истраги; упатување случаи до судовите; учество во судски постапки; и објавување на извештаи во врска со примени и обработени жалби. </w:t>
      </w:r>
      <w:r w:rsidR="00996990">
        <w:rPr>
          <w:sz w:val="20"/>
          <w:szCs w:val="20"/>
          <w:lang w:val="mk-MK"/>
        </w:rPr>
        <w:t>А</w:t>
      </w:r>
      <w:r w:rsidR="00167D67" w:rsidRPr="00167D67">
        <w:rPr>
          <w:sz w:val="20"/>
          <w:szCs w:val="20"/>
          <w:lang w:val="mk-MK"/>
        </w:rPr>
        <w:t>ктивности</w:t>
      </w:r>
      <w:r w:rsidR="00996990">
        <w:rPr>
          <w:sz w:val="20"/>
          <w:szCs w:val="20"/>
          <w:lang w:val="mk-MK"/>
        </w:rPr>
        <w:t xml:space="preserve"> за следење</w:t>
      </w:r>
      <w:r w:rsidR="00167D67" w:rsidRPr="00167D67">
        <w:rPr>
          <w:sz w:val="20"/>
          <w:szCs w:val="20"/>
          <w:lang w:val="mk-MK"/>
        </w:rPr>
        <w:t xml:space="preserve"> вклучуваат развивање на систем за проценка на влијанието на спроведувањето на законодавството и политиките; развој на индикатори и одредници; и одржување на бази на податоци кои содржат информации за практиките поврзани со спроведувањето на Конвенцијата.</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14. </w:t>
      </w:r>
      <w:r w:rsidR="00167D67" w:rsidRPr="00167D67">
        <w:rPr>
          <w:sz w:val="20"/>
          <w:szCs w:val="20"/>
          <w:lang w:val="mk-MK"/>
        </w:rPr>
        <w:t>Државите членки имаат маргина на проценка да одлучат дали нивната независна рамка за мониторинг ќе се состои од еден или повеќе механизми за следење. Кога еден ентитет е назначен како механизам за следење, потребно е тој да биде независен од извршната власт и да е усогласен со Париските принципи. Ако рамката за следење се состои од еден или повеќе механизми, барањето е сите механизми да бидат независни од извршната власт и барем еден од нив мора да биде во согласност со Париските принципи. Кога рамката за мониторинг се состои од два или повеќе механизми, член 33 бара од државите-членки да обезбедат соодветна и блиска соработка помеѓу сите субјекти кои ја сочинуваат рамката за следење.</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15. </w:t>
      </w:r>
      <w:r w:rsidR="00167D67" w:rsidRPr="00167D67">
        <w:rPr>
          <w:sz w:val="20"/>
          <w:szCs w:val="20"/>
          <w:lang w:val="mk-MK"/>
        </w:rPr>
        <w:t>Државите членки треба да ја почитуваат како функционалната, така и суштинската независност на рамките за следење. Со цел да ја почитуваат нивната суштинска независност, државите-членки треба да обезбедат мандатот на рамките да е соодветно и доволно широко дефиниран за да опфати промоција, заштита и следење на сите права вградени во Конвенцијата и дека е утврден во уставен или текст на закон; тие исто така треба да обезбедат рамките да бидат овластени и да им е доверен широк спектар на одговорности, вклучувајќи ги и оние наведени во став 14 погоре. Со цел да се почитува функционалната независност на рамките за следење, државите членки ќе обезбедат секој механизам во составот да биде независен од извршната власт на државата членка и дека рамките за следење: (а) имаат членови назначени на јавен, демократски, транспарентен и партиципативен начин; (б) имаат доволно финансиски средства и технички и квалификувани човечки ресурси; (в) имаат автономија во управувањето со нивниот буџет; (г) имаат автономија при одлучувањето и разгледувањето кои прашања спаѓаат во нејзиниот делокруг; (д) може да одржуваат и развиваат односи и да се вклучат во консултации со други тела; и (ѓ) може да сослушаат и да разгледуваат жалби покренати од поединци или групи кои нав</w:t>
      </w:r>
      <w:r w:rsidR="00996990">
        <w:rPr>
          <w:sz w:val="20"/>
          <w:szCs w:val="20"/>
          <w:lang w:val="mk-MK"/>
        </w:rPr>
        <w:t>е</w:t>
      </w:r>
      <w:r w:rsidR="00167D67" w:rsidRPr="00167D67">
        <w:rPr>
          <w:sz w:val="20"/>
          <w:szCs w:val="20"/>
          <w:lang w:val="mk-MK"/>
        </w:rPr>
        <w:t>дуваат повреди на нивните права според Конвенцијата.</w:t>
      </w:r>
    </w:p>
    <w:p w:rsidR="00167D67" w:rsidRDefault="00167D67" w:rsidP="002E62F8">
      <w:pPr>
        <w:pStyle w:val="Default"/>
        <w:rPr>
          <w:sz w:val="20"/>
          <w:szCs w:val="20"/>
        </w:rPr>
      </w:pPr>
    </w:p>
    <w:p w:rsidR="002E62F8" w:rsidRDefault="002E62F8" w:rsidP="002E62F8">
      <w:pPr>
        <w:pStyle w:val="Default"/>
        <w:rPr>
          <w:sz w:val="20"/>
          <w:szCs w:val="20"/>
        </w:rPr>
      </w:pPr>
      <w:r>
        <w:rPr>
          <w:sz w:val="20"/>
          <w:szCs w:val="20"/>
        </w:rPr>
        <w:t xml:space="preserve">16. </w:t>
      </w:r>
      <w:r w:rsidR="00A24D55" w:rsidRPr="00A24D55">
        <w:rPr>
          <w:sz w:val="20"/>
          <w:szCs w:val="20"/>
          <w:lang w:val="mk-MK"/>
        </w:rPr>
        <w:t xml:space="preserve">Државите членки треба внимателно да ги разгледаат препораките </w:t>
      </w:r>
      <w:r w:rsidR="00996990">
        <w:rPr>
          <w:sz w:val="20"/>
          <w:szCs w:val="20"/>
          <w:lang w:val="mk-MK"/>
        </w:rPr>
        <w:t xml:space="preserve">упатени </w:t>
      </w:r>
      <w:r w:rsidR="00A24D55" w:rsidRPr="00A24D55">
        <w:rPr>
          <w:sz w:val="20"/>
          <w:szCs w:val="20"/>
          <w:lang w:val="mk-MK"/>
        </w:rPr>
        <w:t xml:space="preserve">од рамката за следење во нејзините годишни, тематски или посебни извештаи и во одлуките и мислењата на рамката за поединечни случаи. Треба да се обезбеди соодветно следење на </w:t>
      </w:r>
      <w:r w:rsidR="00996990">
        <w:rPr>
          <w:sz w:val="20"/>
          <w:szCs w:val="20"/>
          <w:lang w:val="mk-MK"/>
        </w:rPr>
        <w:t xml:space="preserve">спроведувањето на </w:t>
      </w:r>
      <w:r w:rsidR="00A24D55" w:rsidRPr="00A24D55">
        <w:rPr>
          <w:sz w:val="20"/>
          <w:szCs w:val="20"/>
          <w:lang w:val="mk-MK"/>
        </w:rPr>
        <w:t xml:space="preserve">препораките на рамката за следење, </w:t>
      </w:r>
      <w:r w:rsidR="00A24D55" w:rsidRPr="00A24D55">
        <w:rPr>
          <w:sz w:val="20"/>
          <w:szCs w:val="20"/>
          <w:lang w:val="mk-MK"/>
        </w:rPr>
        <w:lastRenderedPageBreak/>
        <w:t xml:space="preserve">вклучително и преку поднесување на навремени извештаи за следење на спроведувањето, кога тие се побарани или </w:t>
      </w:r>
      <w:r w:rsidR="00996990">
        <w:rPr>
          <w:sz w:val="20"/>
          <w:szCs w:val="20"/>
          <w:lang w:val="mk-MK"/>
        </w:rPr>
        <w:t>достасани</w:t>
      </w:r>
      <w:r w:rsidR="00A24D55" w:rsidRPr="00A24D55">
        <w:rPr>
          <w:sz w:val="20"/>
          <w:szCs w:val="20"/>
          <w:lang w:val="mk-MK"/>
        </w:rPr>
        <w:t xml:space="preserve">. Државите членки се охрабруваат да ги </w:t>
      </w:r>
      <w:r w:rsidR="00996990">
        <w:rPr>
          <w:sz w:val="20"/>
          <w:szCs w:val="20"/>
          <w:lang w:val="mk-MK"/>
        </w:rPr>
        <w:t>спроведат</w:t>
      </w:r>
      <w:r w:rsidR="00A24D55" w:rsidRPr="00A24D55">
        <w:rPr>
          <w:sz w:val="20"/>
          <w:szCs w:val="20"/>
          <w:lang w:val="mk-MK"/>
        </w:rPr>
        <w:t xml:space="preserve"> препораките на ефективен и навремен начин.</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17. </w:t>
      </w:r>
      <w:r w:rsidR="00A24D55" w:rsidRPr="00A24D55">
        <w:rPr>
          <w:sz w:val="20"/>
          <w:szCs w:val="20"/>
          <w:lang w:val="mk-MK"/>
        </w:rPr>
        <w:t xml:space="preserve">Државите членки, исто така, се охрабруваат да назначат национална институција за човекови права усогласена со Париските принципи како рамка за следење или механизмот кој е составен дел од рамката за следење и да </w:t>
      </w:r>
      <w:r w:rsidR="00996990">
        <w:rPr>
          <w:sz w:val="20"/>
          <w:szCs w:val="20"/>
          <w:lang w:val="mk-MK"/>
        </w:rPr>
        <w:t>ја</w:t>
      </w:r>
      <w:r w:rsidR="00A24D55" w:rsidRPr="00A24D55">
        <w:rPr>
          <w:sz w:val="20"/>
          <w:szCs w:val="20"/>
          <w:lang w:val="mk-MK"/>
        </w:rPr>
        <w:t xml:space="preserve"> опрем</w:t>
      </w:r>
      <w:r w:rsidR="00996990">
        <w:rPr>
          <w:sz w:val="20"/>
          <w:szCs w:val="20"/>
          <w:lang w:val="mk-MK"/>
        </w:rPr>
        <w:t>ат</w:t>
      </w:r>
      <w:r w:rsidR="00A24D55" w:rsidRPr="00A24D55">
        <w:rPr>
          <w:sz w:val="20"/>
          <w:szCs w:val="20"/>
          <w:lang w:val="mk-MK"/>
        </w:rPr>
        <w:t xml:space="preserve"> со дополнителни и соодветни буџетски и квалификувани човечки ресурси за таа соодветно да го изврши својот мандат согласно член 33 (2) од Конвенцијата.</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18. </w:t>
      </w:r>
      <w:r w:rsidR="00A24D55" w:rsidRPr="00A24D55">
        <w:rPr>
          <w:sz w:val="20"/>
          <w:szCs w:val="20"/>
          <w:lang w:val="mk-MK"/>
        </w:rPr>
        <w:t>Државите-членки со федерални или децентрализирани администрации треба да обезбедат централната рамка за следење правилно да може да ги извршува своите функции на федерално, државно, провинциско, регионално и локално ниво. Кога на овие нивоа постојат рамки за следење, државите членки ќе обезбедат дека федералната или националната рамка за следење може соодветно да ги поврзува и координира своите активности со државните, провинциските, регионалните, локалните или општинските рамки за следење. Онаму каде што независна рамка за следење не се состои само од национална институција за човекови права усогласена со Париските принципи, државите-членки се охрабруваат да ја овластат институцијата да ја овозможува и координира интеракцијата помеѓу рамката за следење и нејзините регионални и локални делови.</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19. </w:t>
      </w:r>
      <w:r w:rsidR="00A24D55" w:rsidRPr="00A24D55">
        <w:rPr>
          <w:sz w:val="20"/>
          <w:szCs w:val="20"/>
          <w:lang w:val="mk-MK"/>
        </w:rPr>
        <w:t>Во случаи кога рамката е составена од еден или повеќе механизми за следење, државите членки ќе обезбедат соодветна поддршка, на барање на рамката, за таа да може редовно и соодветно да функционира и да ги извршува своите функции.</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20. </w:t>
      </w:r>
      <w:r w:rsidR="00471179" w:rsidRPr="00471179">
        <w:rPr>
          <w:sz w:val="20"/>
          <w:szCs w:val="20"/>
          <w:lang w:val="mk-MK"/>
        </w:rPr>
        <w:t xml:space="preserve">Независната рамка за </w:t>
      </w:r>
      <w:r w:rsidR="00471179">
        <w:rPr>
          <w:sz w:val="20"/>
          <w:szCs w:val="20"/>
          <w:lang w:val="mk-MK"/>
        </w:rPr>
        <w:t>следење</w:t>
      </w:r>
      <w:r w:rsidR="00471179" w:rsidRPr="00471179">
        <w:rPr>
          <w:sz w:val="20"/>
          <w:szCs w:val="20"/>
          <w:lang w:val="mk-MK"/>
        </w:rPr>
        <w:t xml:space="preserve"> треба да обезбеди целосна вклученост и учество на лицата со попреченост и нивните претставнички организации во сите области на својата работа. Комитетот ги смета за организации на лица со попреченост организациите со мнозинство од членови кои се лица со попреченост (најмалку половина од нивното членство) и кои се управувани, водени и раководени од лица со попреченост. Вклученоста и учеството треба да бидат значајни и да се одвиваат во сите фази од процесот на следење, кој треба да биде достапен, да ја почитува разноликоста на лицата со попреченост и родово и возрасно чувствителен. Член 33 (3) од Конвенцијата, во врска со член 4 (3), бара од државите-членки да им обезбедат на лицата со попреченост и нивните претставнички организации, вклучително и организации на жени со попреченост и организации на деца со попреченост, соодветно финансирање и ресурси за да се овозможи ефективно и значајно учество на лицата со попреченост во рамката за следење.</w:t>
      </w:r>
    </w:p>
    <w:p w:rsidR="002E62F8" w:rsidRDefault="002E62F8" w:rsidP="002E62F8">
      <w:pPr>
        <w:pStyle w:val="Default"/>
        <w:rPr>
          <w:sz w:val="20"/>
          <w:szCs w:val="20"/>
        </w:rPr>
      </w:pPr>
    </w:p>
    <w:p w:rsidR="002E62F8" w:rsidRDefault="002E62F8" w:rsidP="002E62F8">
      <w:pPr>
        <w:pStyle w:val="Default"/>
        <w:rPr>
          <w:sz w:val="20"/>
          <w:szCs w:val="20"/>
        </w:rPr>
      </w:pPr>
      <w:r>
        <w:rPr>
          <w:sz w:val="20"/>
          <w:szCs w:val="20"/>
        </w:rPr>
        <w:t xml:space="preserve">21. </w:t>
      </w:r>
      <w:r w:rsidR="00471179" w:rsidRPr="00471179">
        <w:rPr>
          <w:sz w:val="20"/>
          <w:szCs w:val="20"/>
          <w:lang w:val="mk-MK"/>
        </w:rPr>
        <w:t>Државите членки ќе обезбедат рамките за следење да можат да комуницираат редовно, значајно и навремено со координаторите и механизмите за координација назначени согласно член 33 (1) од Конвенцијата за спроведување на одредбите од Конвенцијата, со цел да се обезбеди ставовите и препораките од рамката за следење да бидат должно земени предвид во процесите на донесување одлуки. Државите членки се охрабруваат да го формализираат процесот на соработка помеѓу субјектите воспоствени согласно член 33 (1) и (2), дали преку закон, прописи или соодветно овластен извршен договор и директива. Ако постои национален механизам за известување и следење на препораките на меѓународните механизми за човекови права, државите-членки треба да обезбедат дека независните рамки за следење се значајно вклучени и учествуваат, во независно својство, во активностите на тие национални механизми.</w:t>
      </w:r>
    </w:p>
    <w:p w:rsidR="002E62F8" w:rsidRDefault="002E62F8" w:rsidP="002E62F8"/>
    <w:p w:rsidR="00CF6919" w:rsidRDefault="002E62F8" w:rsidP="002E62F8">
      <w:r>
        <w:t xml:space="preserve">22. </w:t>
      </w:r>
      <w:r w:rsidR="00471179" w:rsidRPr="00471179">
        <w:rPr>
          <w:lang w:val="mk-MK"/>
        </w:rPr>
        <w:t>Советодавните тела како што се советите за попреченост или комисиите составени од претставници на оддели и одделенија вклучени во спроведувањето на Конвенцијата не треба да бидат вклучени или на кој било начин да учествуваат во активностите на рамката за следење. Државите-членки треба да обезбедат ефективни постапки со кои се спречува, регулира и разрешува потенцијален судир на интереси или несоодветно влијание што произлегува од интеракцијата на горенаведените тела и рамката за следење.</w:t>
      </w:r>
    </w:p>
    <w:p w:rsidR="002E62F8" w:rsidRDefault="002E62F8" w:rsidP="002E62F8"/>
    <w:p w:rsidR="00D027C1" w:rsidRPr="00D027C1" w:rsidRDefault="00D027C1" w:rsidP="002E62F8">
      <w:pPr>
        <w:rPr>
          <w:b/>
        </w:rPr>
      </w:pPr>
      <w:r w:rsidRPr="00D027C1">
        <w:rPr>
          <w:b/>
        </w:rPr>
        <w:t>…</w:t>
      </w:r>
    </w:p>
    <w:sectPr w:rsidR="00D027C1" w:rsidRPr="00D027C1" w:rsidSect="00D027C1">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39" w:rsidRDefault="00BB3139" w:rsidP="00E47468">
      <w:r>
        <w:separator/>
      </w:r>
    </w:p>
  </w:endnote>
  <w:endnote w:type="continuationSeparator" w:id="0">
    <w:p w:rsidR="00BB3139" w:rsidRDefault="00BB3139" w:rsidP="00E4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39T30Lfz">
    <w:altName w:val="Arial Unicode MS"/>
    <w:panose1 w:val="00000000000000000000"/>
    <w:charset w:val="88"/>
    <w:family w:val="swiss"/>
    <w:notTrueType/>
    <w:pitch w:val="default"/>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39" w:rsidRDefault="00BB3139" w:rsidP="00E47468">
      <w:r>
        <w:separator/>
      </w:r>
    </w:p>
  </w:footnote>
  <w:footnote w:type="continuationSeparator" w:id="0">
    <w:p w:rsidR="00BB3139" w:rsidRDefault="00BB3139" w:rsidP="00E47468">
      <w:r>
        <w:continuationSeparator/>
      </w:r>
    </w:p>
  </w:footnote>
  <w:footnote w:id="1">
    <w:p w:rsidR="00E47468" w:rsidRDefault="00E47468">
      <w:pPr>
        <w:pStyle w:val="FootnoteText"/>
        <w:rPr>
          <w:sz w:val="18"/>
          <w:szCs w:val="18"/>
          <w:lang w:val="mk-MK"/>
        </w:rPr>
      </w:pPr>
      <w:r w:rsidRPr="00E47468">
        <w:rPr>
          <w:rStyle w:val="FootnoteReference"/>
        </w:rPr>
        <w:sym w:font="Symbol" w:char="F02A"/>
      </w:r>
      <w:r>
        <w:t xml:space="preserve"> </w:t>
      </w:r>
      <w:r w:rsidRPr="00E47468">
        <w:rPr>
          <w:sz w:val="18"/>
          <w:szCs w:val="18"/>
          <w:lang w:val="mk-MK"/>
        </w:rPr>
        <w:t>Деловникот за работа беше ревидиран од страна на Комитетот на неговата шеснаесетта седница (15 август – 2 септември 2016)</w:t>
      </w:r>
    </w:p>
    <w:p w:rsidR="00D027C1" w:rsidRDefault="00D027C1" w:rsidP="00E47468">
      <w:pPr>
        <w:ind w:right="1134"/>
      </w:pPr>
    </w:p>
    <w:p w:rsidR="00D027C1" w:rsidRDefault="00D027C1" w:rsidP="00D027C1">
      <w:pPr>
        <w:spacing w:line="240" w:lineRule="atLeast"/>
      </w:pPr>
      <w:r>
        <w:t>GE.16-17472(E)</w:t>
      </w:r>
    </w:p>
    <w:p w:rsidR="00D027C1" w:rsidRPr="00407998" w:rsidRDefault="00D027C1" w:rsidP="00D027C1">
      <w:pPr>
        <w:spacing w:line="240" w:lineRule="atLeast"/>
        <w:rPr>
          <w:rFonts w:ascii="C39T30Lfz" w:hAnsi="C39T30Lfz"/>
          <w:sz w:val="56"/>
        </w:rPr>
      </w:pPr>
      <w:r w:rsidRPr="00D027C1">
        <w:rPr>
          <w:rFonts w:ascii="C39T30Lfz" w:hAnsi="C39T30Lfz"/>
          <w:sz w:val="52"/>
          <w:szCs w:val="52"/>
        </w:rPr>
        <w:t></w:t>
      </w:r>
      <w:r w:rsidRPr="00D027C1">
        <w:rPr>
          <w:rFonts w:ascii="C39T30Lfz" w:hAnsi="C39T30Lfz"/>
          <w:sz w:val="52"/>
          <w:szCs w:val="52"/>
        </w:rPr>
        <w:t></w:t>
      </w:r>
      <w:r w:rsidRPr="00D027C1">
        <w:rPr>
          <w:rFonts w:ascii="C39T30Lfz" w:hAnsi="C39T30Lfz"/>
          <w:sz w:val="52"/>
          <w:szCs w:val="52"/>
        </w:rPr>
        <w:t></w:t>
      </w:r>
      <w:r w:rsidRPr="00D027C1">
        <w:rPr>
          <w:rFonts w:ascii="C39T30Lfz" w:hAnsi="C39T30Lfz"/>
          <w:sz w:val="52"/>
          <w:szCs w:val="52"/>
        </w:rPr>
        <w:t></w:t>
      </w:r>
      <w:r w:rsidRPr="00D027C1">
        <w:rPr>
          <w:rFonts w:ascii="C39T30Lfz" w:hAnsi="C39T30Lfz"/>
          <w:sz w:val="52"/>
          <w:szCs w:val="52"/>
        </w:rPr>
        <w:t></w:t>
      </w:r>
      <w:r w:rsidRPr="00D027C1">
        <w:rPr>
          <w:rFonts w:ascii="C39T30Lfz" w:hAnsi="C39T30Lfz"/>
          <w:sz w:val="52"/>
          <w:szCs w:val="52"/>
        </w:rPr>
        <w:t></w:t>
      </w:r>
      <w:r w:rsidRPr="00D027C1">
        <w:rPr>
          <w:rFonts w:ascii="C39T30Lfz" w:hAnsi="C39T30Lfz"/>
          <w:sz w:val="52"/>
          <w:szCs w:val="52"/>
        </w:rPr>
        <w:t></w:t>
      </w:r>
      <w:r w:rsidRPr="00D027C1">
        <w:rPr>
          <w:rFonts w:ascii="C39T30Lfz" w:hAnsi="C39T30Lfz"/>
          <w:sz w:val="52"/>
          <w:szCs w:val="52"/>
        </w:rPr>
        <w:t></w:t>
      </w:r>
      <w:r w:rsidRPr="00D027C1">
        <w:rPr>
          <w:rFonts w:ascii="C39T30Lfz" w:hAnsi="C39T30Lfz"/>
          <w:sz w:val="52"/>
          <w:szCs w:val="52"/>
        </w:rPr>
        <w:t></w:t>
      </w:r>
      <w:r w:rsidRPr="00DA43F5">
        <w:rPr>
          <w:rFonts w:ascii="C39T30Lfz" w:hAnsi="C39T30Lfz"/>
          <w:noProof/>
          <w:sz w:val="56"/>
          <w:u w:val="single"/>
        </w:rPr>
        <w:drawing>
          <wp:inline distT="0" distB="0" distL="0" distR="0" wp14:anchorId="0CB7D2E4" wp14:editId="032229A8">
            <wp:extent cx="974725" cy="26733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inline>
        </w:drawing>
      </w:r>
      <w:r>
        <w:rPr>
          <w:rFonts w:ascii="C39T30Lfz" w:hAnsi="C39T30Lfz"/>
          <w:noProof/>
          <w:sz w:val="56"/>
        </w:rPr>
        <w:drawing>
          <wp:inline distT="0" distB="0" distL="0" distR="0">
            <wp:extent cx="638175" cy="63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RPD/C/1/Rev.1&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D027C1" w:rsidRDefault="00D027C1" w:rsidP="00E47468">
      <w:pPr>
        <w:ind w:right="1134"/>
      </w:pPr>
    </w:p>
    <w:p w:rsidR="00E47468" w:rsidRPr="00E47468" w:rsidRDefault="00E47468">
      <w:pPr>
        <w:pStyle w:val="FootnoteText"/>
        <w:rPr>
          <w:lang w:val="mk-MK"/>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F8"/>
    <w:rsid w:val="00151AAB"/>
    <w:rsid w:val="00167D67"/>
    <w:rsid w:val="002B675F"/>
    <w:rsid w:val="002E62F8"/>
    <w:rsid w:val="00321005"/>
    <w:rsid w:val="00471179"/>
    <w:rsid w:val="005448EA"/>
    <w:rsid w:val="005F2EE4"/>
    <w:rsid w:val="006630BE"/>
    <w:rsid w:val="006B57C1"/>
    <w:rsid w:val="0092191D"/>
    <w:rsid w:val="00996990"/>
    <w:rsid w:val="00A24D55"/>
    <w:rsid w:val="00A84FF8"/>
    <w:rsid w:val="00BB3139"/>
    <w:rsid w:val="00BE6D44"/>
    <w:rsid w:val="00C26283"/>
    <w:rsid w:val="00CF6919"/>
    <w:rsid w:val="00D027C1"/>
    <w:rsid w:val="00DD6A58"/>
    <w:rsid w:val="00E47468"/>
    <w:rsid w:val="00F6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A822F-7ED8-4EFD-8B99-ACC9B190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005"/>
  </w:style>
  <w:style w:type="paragraph" w:styleId="Heading1">
    <w:name w:val="heading 1"/>
    <w:basedOn w:val="Normal"/>
    <w:next w:val="Normal"/>
    <w:link w:val="Heading1Char"/>
    <w:qFormat/>
    <w:rsid w:val="003210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21005"/>
    <w:pPr>
      <w:outlineLvl w:val="1"/>
    </w:pPr>
    <w:rPr>
      <w:b/>
      <w:bCs/>
      <w:color w:val="303030"/>
      <w:sz w:val="23"/>
      <w:szCs w:val="23"/>
    </w:rPr>
  </w:style>
  <w:style w:type="paragraph" w:styleId="Heading3">
    <w:name w:val="heading 3"/>
    <w:basedOn w:val="Normal"/>
    <w:next w:val="Normal"/>
    <w:link w:val="Heading3Char"/>
    <w:semiHidden/>
    <w:unhideWhenUsed/>
    <w:qFormat/>
    <w:rsid w:val="003210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0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21005"/>
    <w:rPr>
      <w:b/>
      <w:bCs/>
      <w:color w:val="303030"/>
      <w:sz w:val="23"/>
      <w:szCs w:val="23"/>
    </w:rPr>
  </w:style>
  <w:style w:type="character" w:customStyle="1" w:styleId="Heading3Char">
    <w:name w:val="Heading 3 Char"/>
    <w:basedOn w:val="DefaultParagraphFont"/>
    <w:link w:val="Heading3"/>
    <w:semiHidden/>
    <w:rsid w:val="0032100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21005"/>
    <w:rPr>
      <w:b/>
      <w:bCs/>
    </w:rPr>
  </w:style>
  <w:style w:type="character" w:styleId="Emphasis">
    <w:name w:val="Emphasis"/>
    <w:basedOn w:val="DefaultParagraphFont"/>
    <w:uiPriority w:val="20"/>
    <w:qFormat/>
    <w:rsid w:val="00321005"/>
    <w:rPr>
      <w:b/>
      <w:bCs/>
      <w:i w:val="0"/>
      <w:iCs w:val="0"/>
    </w:rPr>
  </w:style>
  <w:style w:type="paragraph" w:styleId="ListParagraph">
    <w:name w:val="List Paragraph"/>
    <w:basedOn w:val="Normal"/>
    <w:uiPriority w:val="34"/>
    <w:qFormat/>
    <w:rsid w:val="00321005"/>
    <w:pPr>
      <w:ind w:left="720"/>
    </w:pPr>
  </w:style>
  <w:style w:type="paragraph" w:styleId="TOCHeading">
    <w:name w:val="TOC Heading"/>
    <w:basedOn w:val="Heading1"/>
    <w:next w:val="Normal"/>
    <w:uiPriority w:val="39"/>
    <w:unhideWhenUsed/>
    <w:qFormat/>
    <w:rsid w:val="00321005"/>
    <w:pPr>
      <w:spacing w:line="259" w:lineRule="auto"/>
      <w:outlineLvl w:val="9"/>
    </w:pPr>
  </w:style>
  <w:style w:type="paragraph" w:customStyle="1" w:styleId="Default">
    <w:name w:val="Default"/>
    <w:rsid w:val="002E62F8"/>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E47468"/>
  </w:style>
  <w:style w:type="character" w:customStyle="1" w:styleId="FootnoteTextChar">
    <w:name w:val="Footnote Text Char"/>
    <w:basedOn w:val="DefaultParagraphFont"/>
    <w:link w:val="FootnoteText"/>
    <w:uiPriority w:val="99"/>
    <w:semiHidden/>
    <w:rsid w:val="00E47468"/>
  </w:style>
  <w:style w:type="character" w:styleId="FootnoteReference">
    <w:name w:val="footnote reference"/>
    <w:basedOn w:val="DefaultParagraphFont"/>
    <w:uiPriority w:val="99"/>
    <w:semiHidden/>
    <w:unhideWhenUsed/>
    <w:rsid w:val="00E47468"/>
    <w:rPr>
      <w:vertAlign w:val="superscript"/>
    </w:rPr>
  </w:style>
  <w:style w:type="paragraph" w:styleId="Header">
    <w:name w:val="header"/>
    <w:basedOn w:val="Normal"/>
    <w:link w:val="HeaderChar"/>
    <w:uiPriority w:val="99"/>
    <w:unhideWhenUsed/>
    <w:rsid w:val="00E47468"/>
    <w:pPr>
      <w:tabs>
        <w:tab w:val="center" w:pos="4680"/>
        <w:tab w:val="right" w:pos="9360"/>
      </w:tabs>
    </w:pPr>
  </w:style>
  <w:style w:type="character" w:customStyle="1" w:styleId="HeaderChar">
    <w:name w:val="Header Char"/>
    <w:basedOn w:val="DefaultParagraphFont"/>
    <w:link w:val="Header"/>
    <w:uiPriority w:val="99"/>
    <w:rsid w:val="00E47468"/>
  </w:style>
  <w:style w:type="paragraph" w:styleId="Footer">
    <w:name w:val="footer"/>
    <w:basedOn w:val="Normal"/>
    <w:link w:val="FooterChar"/>
    <w:uiPriority w:val="99"/>
    <w:unhideWhenUsed/>
    <w:rsid w:val="00E47468"/>
    <w:pPr>
      <w:tabs>
        <w:tab w:val="center" w:pos="4680"/>
        <w:tab w:val="right" w:pos="9360"/>
      </w:tabs>
    </w:pPr>
  </w:style>
  <w:style w:type="character" w:customStyle="1" w:styleId="FooterChar">
    <w:name w:val="Footer Char"/>
    <w:basedOn w:val="DefaultParagraphFont"/>
    <w:link w:val="Footer"/>
    <w:uiPriority w:val="99"/>
    <w:rsid w:val="00E4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EC6F-C5B8-4A54-913A-2EE3C487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Pesic</dc:creator>
  <cp:keywords/>
  <dc:description/>
  <cp:lastModifiedBy>Silva Pesic</cp:lastModifiedBy>
  <cp:revision>2</cp:revision>
  <dcterms:created xsi:type="dcterms:W3CDTF">2018-07-04T13:27:00Z</dcterms:created>
  <dcterms:modified xsi:type="dcterms:W3CDTF">2018-07-04T13:27:00Z</dcterms:modified>
</cp:coreProperties>
</file>